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Eesti Õpilasesinduste Liit MTÜ</w:t>
      </w:r>
    </w:p>
    <w:p w:rsidR="00000000" w:rsidDel="00000000" w:rsidP="00000000" w:rsidRDefault="00000000" w:rsidRPr="00000000" w14:paraId="00000002">
      <w:pPr>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Pärnu mnt 102-21, E-korpus</w:t>
      </w:r>
    </w:p>
    <w:p w:rsidR="00000000" w:rsidDel="00000000" w:rsidP="00000000" w:rsidRDefault="00000000" w:rsidRPr="00000000" w14:paraId="00000003">
      <w:pPr>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11312 Tallinn</w:t>
      </w:r>
    </w:p>
    <w:p w:rsidR="00000000" w:rsidDel="00000000" w:rsidP="00000000" w:rsidRDefault="00000000" w:rsidRPr="00000000" w14:paraId="00000004">
      <w:pPr>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Tel. +372 5818 8590</w:t>
      </w:r>
    </w:p>
    <w:p w:rsidR="00000000" w:rsidDel="00000000" w:rsidP="00000000" w:rsidRDefault="00000000" w:rsidRPr="00000000" w14:paraId="00000005">
      <w:pPr>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e-post: opilasliit@opilasliit.ee</w:t>
      </w:r>
    </w:p>
    <w:p w:rsidR="00000000" w:rsidDel="00000000" w:rsidP="00000000" w:rsidRDefault="00000000" w:rsidRPr="00000000" w14:paraId="00000006">
      <w:pPr>
        <w:ind w:left="0" w:firstLine="0"/>
        <w:jc w:val="righ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ind w:left="0" w:firstLine="0"/>
        <w:jc w:val="left"/>
        <w:rPr>
          <w:sz w:val="24"/>
          <w:szCs w:val="24"/>
        </w:rPr>
      </w:pPr>
      <w:r w:rsidDel="00000000" w:rsidR="00000000" w:rsidRPr="00000000">
        <w:rPr>
          <w:rtl w:val="0"/>
        </w:rPr>
        <w:t xml:space="preserve">Sotsiaalministrile                 </w:t>
      </w:r>
      <w:r w:rsidDel="00000000" w:rsidR="00000000" w:rsidRPr="00000000">
        <w:rPr>
          <w:sz w:val="24"/>
          <w:szCs w:val="24"/>
          <w:rtl w:val="0"/>
        </w:rPr>
        <w:t xml:space="preserve">                                                                         0</w:t>
      </w:r>
      <w:r w:rsidDel="00000000" w:rsidR="00000000" w:rsidRPr="00000000">
        <w:rPr>
          <w:rtl w:val="0"/>
        </w:rPr>
        <w:t xml:space="preserve">3.</w:t>
      </w:r>
      <w:r w:rsidDel="00000000" w:rsidR="00000000" w:rsidRPr="00000000">
        <w:rPr>
          <w:sz w:val="24"/>
          <w:szCs w:val="24"/>
          <w:rtl w:val="0"/>
        </w:rPr>
        <w:t xml:space="preserve">0</w:t>
      </w:r>
      <w:r w:rsidDel="00000000" w:rsidR="00000000" w:rsidRPr="00000000">
        <w:rPr>
          <w:rtl w:val="0"/>
        </w:rPr>
        <w:t xml:space="preserve">7</w:t>
      </w:r>
      <w:r w:rsidDel="00000000" w:rsidR="00000000" w:rsidRPr="00000000">
        <w:rPr>
          <w:sz w:val="24"/>
          <w:szCs w:val="24"/>
          <w:rtl w:val="0"/>
        </w:rPr>
        <w:t xml:space="preserve">.2025</w:t>
      </w:r>
    </w:p>
    <w:p w:rsidR="00000000" w:rsidDel="00000000" w:rsidP="00000000" w:rsidRDefault="00000000" w:rsidRPr="00000000" w14:paraId="00000008">
      <w:pP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rtl w:val="0"/>
        </w:rPr>
        <w:t xml:space="preserve">Eesti Õpilasesinduste Liidu arvamus sotsiaalministri väljatöötamiskavatsuse „Nakkushaiguste ennetamise ja tõrje seaduse väljatöötamiskavatsus“ kohta.</w:t>
      </w:r>
      <w:r w:rsidDel="00000000" w:rsidR="00000000" w:rsidRPr="00000000">
        <w:rPr>
          <w:rtl w:val="0"/>
        </w:rPr>
      </w:r>
    </w:p>
    <w:p w:rsidR="00000000" w:rsidDel="00000000" w:rsidP="00000000" w:rsidRDefault="00000000" w:rsidRPr="00000000" w14:paraId="0000000A">
      <w:pPr>
        <w:jc w:val="both"/>
        <w:rPr>
          <w:b w:val="1"/>
          <w:sz w:val="30"/>
          <w:szCs w:val="30"/>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Lugupeetud Karmen Joller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Eesti Õpilasesinduste Liit on tutvunud </w:t>
      </w:r>
      <w:r w:rsidDel="00000000" w:rsidR="00000000" w:rsidRPr="00000000">
        <w:rPr>
          <w:rtl w:val="0"/>
        </w:rPr>
        <w:t xml:space="preserve">sotsiaalministeeriumi </w:t>
      </w:r>
      <w:r w:rsidDel="00000000" w:rsidR="00000000" w:rsidRPr="00000000">
        <w:rPr>
          <w:rtl w:val="0"/>
        </w:rPr>
        <w:t xml:space="preserve">„Nakkushaiguste ennetamise ja tõrje seaduse“ väljatöötamiskavatsusega ning esitame siinkohal oma arvamuse ja ettepanekud eelnõu sisu kohta.</w:t>
      </w:r>
    </w:p>
    <w:p w:rsidR="00000000" w:rsidDel="00000000" w:rsidP="00000000" w:rsidRDefault="00000000" w:rsidRPr="00000000" w14:paraId="0000000E">
      <w:pPr>
        <w:spacing w:after="240" w:before="240" w:lineRule="auto"/>
        <w:rPr/>
      </w:pPr>
      <w:r w:rsidDel="00000000" w:rsidR="00000000" w:rsidRPr="00000000">
        <w:rPr>
          <w:rtl w:val="0"/>
        </w:rPr>
        <w:t xml:space="preserve">Toetame põhimõtet, et noortele tuleks anda suurem sõnaõigus nende enda tervisega seotud otsuste tegemisel. Samas leiame, et sellise otsustusõiguse andmisel tuleb arvestada teatud riskidega ning kehtestada selged kaitsemehhanismid. Koolikeskkond, kus vaktsineerimine sageli läbi viiakse, võib noore jaoks kujuneda mõjutavaks ruumiks. Noored kalduvad sageli võtma õpetajaid, kooliõdesid ja teisi koolitöötajaid </w:t>
      </w:r>
      <w:r w:rsidDel="00000000" w:rsidR="00000000" w:rsidRPr="00000000">
        <w:rPr>
          <w:rtl w:val="0"/>
        </w:rPr>
        <w:t xml:space="preserve">autoriteetidena</w:t>
      </w:r>
      <w:r w:rsidDel="00000000" w:rsidR="00000000" w:rsidRPr="00000000">
        <w:rPr>
          <w:rtl w:val="0"/>
        </w:rPr>
        <w:t xml:space="preserve">. Seetõttu võib noor inimene tunda survet tegutseda vastavalt sellele, mida ta arvab, et täiskasvanud ootavad, isegi kui see ei pruugi kokku langeda tema isikliku sooviga. On paratamatu tõsiasi, et paljud õpilased ei tunne end koolikeskkonnas piisavalt enesekindlalt, et oma seisukohti väljendada, eriti kui need erinevad õpetajate või kooli ametlikest seisukohtadest. Selline ebakindlus võib kanduda ka </w:t>
      </w:r>
      <w:r w:rsidDel="00000000" w:rsidR="00000000" w:rsidRPr="00000000">
        <w:rPr>
          <w:rtl w:val="0"/>
        </w:rPr>
        <w:t xml:space="preserve">terviseotsuste</w:t>
      </w:r>
      <w:r w:rsidDel="00000000" w:rsidR="00000000" w:rsidRPr="00000000">
        <w:rPr>
          <w:rtl w:val="0"/>
        </w:rPr>
        <w:t xml:space="preserve"> tegemisse. Paraku ei ole välistatud ka see, et autoriteediks olev õpetaja on ise vaktsineerimisvastane. </w:t>
      </w:r>
    </w:p>
    <w:p w:rsidR="00000000" w:rsidDel="00000000" w:rsidP="00000000" w:rsidRDefault="00000000" w:rsidRPr="00000000" w14:paraId="0000000F">
      <w:pPr>
        <w:spacing w:after="240" w:before="240" w:lineRule="auto"/>
        <w:rPr/>
      </w:pPr>
      <w:r w:rsidDel="00000000" w:rsidR="00000000" w:rsidRPr="00000000">
        <w:rPr>
          <w:rtl w:val="0"/>
        </w:rPr>
        <w:t xml:space="preserve">Leiame, et tuleb kehtestada selged kriteeriumid noore kaalutlusvõime hindamiseks. See tähendab, et enne kui noorele antakse otsustusõigus vaktsineerimise osas, tuleb veenduda, et ta mõistab otsuse võimalikke tagajärgi ja riske, oskab teha vahet soovitusel ja survel ning suudab iseseisvalt analüüsida saadud infot ning langetada informeeritud otsuse. Kui need tingimused on täidetud, siis toetame, et teatud vanusest alates (nt 14–16 eluaastat) võiks noorel olla õigus iseseisvalt otsustada oma vaktsineerimise üle, ilma vanema või hooldaja sekkumiseta.</w:t>
      </w:r>
    </w:p>
    <w:p w:rsidR="00000000" w:rsidDel="00000000" w:rsidP="00000000" w:rsidRDefault="00000000" w:rsidRPr="00000000" w14:paraId="00000010">
      <w:pPr>
        <w:spacing w:after="240" w:before="240" w:lineRule="auto"/>
        <w:rPr/>
      </w:pPr>
      <w:r w:rsidDel="00000000" w:rsidR="00000000" w:rsidRPr="00000000">
        <w:rPr>
          <w:rtl w:val="0"/>
        </w:rPr>
        <w:t xml:space="preserve">Peame ka äärmiselt oluliseks, et paralleelselt seadusemuudatustega pöörataks suuremat tähelepanu teaduspõhisele ja noortele suunatud teavitustööle. Kaasajal puutuvad noored kokku tohutu hulga vastuolulise infoga, eriti sotsiaalmeedia kaudu, kus valeinfo levik on murettekitavalt kiire ja mõjuv. Näiteks COVID-19 pandeemia ajal levisid noorte seas laialdaselt väärarusaamad vaktsiinide toime, kõrvaltoimete ja vandenõuteooriate kohta, mis omakorda mõjutasid nende suhtumist vaktsineerimisse. Selle tulemusel jäi osa noori vaktsineerimata mitte teadliku otsuse, vaid valeinfo mõjul kujunenud hirmude tõttu. Leiame, et riik peaks koostöös usaldusväärsete ekspertide, koolide ja noorteorganisatsioonidega arendama hariduslikke programme, mis õpetavad noortele kriitilist mõtlemist ja meediapädevust, selgitades sealjuures kuidas ära tunda valeinfot ning kuidas otsida teaduslikult põhjendatud allikaid.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Lugupidamisega </w:t>
      </w:r>
    </w:p>
    <w:p w:rsidR="00000000" w:rsidDel="00000000" w:rsidP="00000000" w:rsidRDefault="00000000" w:rsidRPr="00000000" w14:paraId="00000013">
      <w:pPr>
        <w:rPr/>
      </w:pPr>
      <w:r w:rsidDel="00000000" w:rsidR="00000000" w:rsidRPr="00000000">
        <w:rPr>
          <w:rtl w:val="0"/>
        </w:rPr>
        <w:t xml:space="preserve">Karl Erik Kirss</w:t>
      </w:r>
    </w:p>
    <w:p w:rsidR="00000000" w:rsidDel="00000000" w:rsidP="00000000" w:rsidRDefault="00000000" w:rsidRPr="00000000" w14:paraId="00000014">
      <w:pPr>
        <w:rPr/>
      </w:pPr>
      <w:r w:rsidDel="00000000" w:rsidR="00000000" w:rsidRPr="00000000">
        <w:rPr>
          <w:rtl w:val="0"/>
        </w:rPr>
        <w:t xml:space="preserve">Juhatuse esimees</w:t>
      </w:r>
    </w:p>
    <w:p w:rsidR="00000000" w:rsidDel="00000000" w:rsidP="00000000" w:rsidRDefault="00000000" w:rsidRPr="00000000" w14:paraId="00000015">
      <w:pPr>
        <w:rPr/>
      </w:pPr>
      <w:r w:rsidDel="00000000" w:rsidR="00000000" w:rsidRPr="00000000">
        <w:rPr>
          <w:rtl w:val="0"/>
        </w:rPr>
        <w:t xml:space="preserve">/allkirjastatud digitaalselt/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1286.92913385826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-571499</wp:posOffset>
          </wp:positionH>
          <wp:positionV relativeFrom="paragraph">
            <wp:posOffset>-474299</wp:posOffset>
          </wp:positionV>
          <wp:extent cx="3994150" cy="647700"/>
          <wp:effectExtent b="0" l="0" r="0" t="0"/>
          <wp:wrapTopAndBottom distB="342900" distT="342900"/>
          <wp:docPr id="1" name="image1.png"/>
          <a:graphic>
            <a:graphicData uri="http://schemas.openxmlformats.org/drawingml/2006/picture">
              <pic:pic>
                <pic:nvPicPr>
                  <pic:cNvPr id="0" name="image1.png"/>
                  <pic:cNvPicPr preferRelativeResize="0"/>
                </pic:nvPicPr>
                <pic:blipFill>
                  <a:blip r:embed="rId1"/>
                  <a:srcRect b="0" l="0" r="-20546" t="0"/>
                  <a:stretch>
                    <a:fillRect/>
                  </a:stretch>
                </pic:blipFill>
                <pic:spPr>
                  <a:xfrm>
                    <a:off x="0" y="0"/>
                    <a:ext cx="3994150" cy="6477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en_GB"/>
      </w:rPr>
    </w:rPrDefault>
    <w:pPrDefault>
      <w:pPr>
        <w:spacing w:line="276"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